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13" w:rsidRDefault="00EE0184" w:rsidP="007E7DAA">
      <w:pPr>
        <w:jc w:val="center"/>
        <w:rPr>
          <w:bCs/>
          <w:sz w:val="28"/>
          <w:szCs w:val="28"/>
        </w:rPr>
      </w:pPr>
      <w:bookmarkStart w:id="0" w:name="_GoBack"/>
      <w:bookmarkEnd w:id="0"/>
      <w:r>
        <w:rPr>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7"/>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EE0184" w:rsidRPr="00EE0184" w:rsidRDefault="00EE0184" w:rsidP="00EE0184">
      <w:pPr>
        <w:spacing w:line="360" w:lineRule="auto"/>
        <w:ind w:left="4248" w:firstLine="708"/>
        <w:rPr>
          <w:b/>
          <w:sz w:val="24"/>
          <w:szCs w:val="24"/>
        </w:rPr>
      </w:pPr>
    </w:p>
    <w:p w:rsidR="00EE0184" w:rsidRPr="00EE0184" w:rsidRDefault="00EE0184" w:rsidP="00AB3300">
      <w:pPr>
        <w:spacing w:line="360" w:lineRule="auto"/>
        <w:ind w:left="3540"/>
        <w:rPr>
          <w:b/>
          <w:sz w:val="24"/>
          <w:szCs w:val="24"/>
        </w:rPr>
      </w:pPr>
      <w:r w:rsidRPr="00EE0184">
        <w:rPr>
          <w:b/>
          <w:sz w:val="24"/>
          <w:szCs w:val="24"/>
        </w:rPr>
        <w:t>ЛЕНИНГРАДСКАЯ ОБЛАСТЬ</w:t>
      </w:r>
    </w:p>
    <w:p w:rsidR="00EE0184" w:rsidRPr="00EE0184" w:rsidRDefault="00EE0184" w:rsidP="00AB3300">
      <w:pPr>
        <w:spacing w:line="360" w:lineRule="auto"/>
        <w:jc w:val="center"/>
        <w:rPr>
          <w:b/>
          <w:sz w:val="24"/>
          <w:szCs w:val="24"/>
        </w:rPr>
      </w:pPr>
      <w:r w:rsidRPr="00EE0184">
        <w:rPr>
          <w:b/>
          <w:sz w:val="24"/>
          <w:szCs w:val="24"/>
        </w:rPr>
        <w:t>ЛУЖСКИЙ МУНИЦИПАЛЬНЫЙ  РАЙОН</w:t>
      </w:r>
    </w:p>
    <w:p w:rsidR="00EE0184" w:rsidRPr="00EE0184" w:rsidRDefault="00EE0184" w:rsidP="00AB3300">
      <w:pPr>
        <w:spacing w:line="360" w:lineRule="auto"/>
        <w:jc w:val="center"/>
        <w:rPr>
          <w:b/>
          <w:sz w:val="24"/>
          <w:szCs w:val="24"/>
        </w:rPr>
      </w:pPr>
      <w:r w:rsidRPr="00EE0184">
        <w:rPr>
          <w:b/>
          <w:sz w:val="24"/>
          <w:szCs w:val="24"/>
        </w:rPr>
        <w:t>АДМИНИСТРАЦИЯ ТОРКОВИЧСКОГО СЕЛЬСКОГО ПОСЕЛЕНИЯ</w:t>
      </w:r>
    </w:p>
    <w:p w:rsidR="00EE0184" w:rsidRDefault="00EE0184" w:rsidP="00EE0184">
      <w:pPr>
        <w:spacing w:line="360" w:lineRule="auto"/>
        <w:ind w:left="3540" w:firstLine="708"/>
        <w:jc w:val="both"/>
        <w:rPr>
          <w:b/>
          <w:sz w:val="28"/>
          <w:szCs w:val="28"/>
        </w:rPr>
      </w:pPr>
    </w:p>
    <w:p w:rsidR="00EE0184" w:rsidRPr="00287E7A" w:rsidRDefault="00EE0184" w:rsidP="00EE0184">
      <w:pPr>
        <w:ind w:left="2832" w:firstLine="708"/>
        <w:rPr>
          <w:b/>
          <w:sz w:val="28"/>
          <w:szCs w:val="28"/>
        </w:rPr>
      </w:pPr>
      <w:r w:rsidRPr="00287E7A">
        <w:rPr>
          <w:b/>
          <w:sz w:val="28"/>
          <w:szCs w:val="28"/>
        </w:rPr>
        <w:t>ПОСТАНОВЛЕНИЕ</w:t>
      </w:r>
    </w:p>
    <w:p w:rsidR="00EE0184" w:rsidRDefault="00EE0184" w:rsidP="00EE0184">
      <w:pPr>
        <w:tabs>
          <w:tab w:val="left" w:pos="180"/>
          <w:tab w:val="left" w:pos="7792"/>
          <w:tab w:val="right" w:pos="10488"/>
        </w:tabs>
        <w:rPr>
          <w:b/>
          <w:spacing w:val="-7"/>
          <w:w w:val="102"/>
          <w:sz w:val="28"/>
          <w:szCs w:val="28"/>
        </w:rPr>
      </w:pPr>
      <w:r w:rsidRPr="00115885">
        <w:rPr>
          <w:b/>
          <w:spacing w:val="-7"/>
          <w:w w:val="102"/>
          <w:sz w:val="28"/>
          <w:szCs w:val="28"/>
        </w:rPr>
        <w:tab/>
      </w:r>
      <w:r w:rsidRPr="00115885">
        <w:rPr>
          <w:b/>
          <w:spacing w:val="-7"/>
          <w:w w:val="102"/>
          <w:sz w:val="28"/>
          <w:szCs w:val="28"/>
        </w:rPr>
        <w:tab/>
      </w:r>
      <w:r>
        <w:rPr>
          <w:b/>
          <w:spacing w:val="-7"/>
          <w:w w:val="102"/>
          <w:sz w:val="28"/>
          <w:szCs w:val="28"/>
        </w:rPr>
        <w:t>ПРОЕКТ</w:t>
      </w:r>
    </w:p>
    <w:p w:rsidR="00EE0184" w:rsidRDefault="00EE0184" w:rsidP="00EE0184">
      <w:pPr>
        <w:tabs>
          <w:tab w:val="left" w:pos="180"/>
          <w:tab w:val="left" w:pos="7792"/>
          <w:tab w:val="right" w:pos="10488"/>
        </w:tabs>
        <w:jc w:val="both"/>
        <w:rPr>
          <w:b/>
          <w:spacing w:val="-7"/>
          <w:w w:val="102"/>
          <w:sz w:val="28"/>
          <w:szCs w:val="28"/>
        </w:rPr>
      </w:pPr>
      <w:r>
        <w:rPr>
          <w:b/>
          <w:spacing w:val="-7"/>
          <w:w w:val="102"/>
          <w:sz w:val="28"/>
          <w:szCs w:val="28"/>
        </w:rPr>
        <w:tab/>
      </w:r>
    </w:p>
    <w:p w:rsidR="00933573" w:rsidRPr="00036CD5" w:rsidRDefault="00EE0184" w:rsidP="00933573">
      <w:pPr>
        <w:jc w:val="center"/>
        <w:rPr>
          <w:sz w:val="28"/>
          <w:szCs w:val="28"/>
        </w:rPr>
      </w:pPr>
      <w:r w:rsidRPr="00D75CBD">
        <w:rPr>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00933573" w:rsidRPr="00036CD5">
        <w:rPr>
          <w:sz w:val="28"/>
          <w:szCs w:val="28"/>
        </w:rPr>
        <w:t>Предоставление права на  размещение нестационарного торгового объекта</w:t>
      </w:r>
    </w:p>
    <w:p w:rsidR="00EE0184" w:rsidRPr="00D75CBD" w:rsidRDefault="00933573" w:rsidP="00933573">
      <w:pPr>
        <w:tabs>
          <w:tab w:val="left" w:pos="180"/>
          <w:tab w:val="left" w:pos="7792"/>
          <w:tab w:val="right" w:pos="10488"/>
        </w:tabs>
        <w:jc w:val="both"/>
        <w:rPr>
          <w:b/>
          <w:spacing w:val="-7"/>
          <w:w w:val="102"/>
          <w:sz w:val="28"/>
          <w:szCs w:val="28"/>
        </w:rPr>
      </w:pPr>
      <w:r w:rsidRPr="00036CD5">
        <w:rPr>
          <w:sz w:val="28"/>
          <w:szCs w:val="28"/>
        </w:rPr>
        <w:t xml:space="preserve">на территории муниципального </w:t>
      </w:r>
      <w:r>
        <w:rPr>
          <w:sz w:val="28"/>
          <w:szCs w:val="28"/>
        </w:rPr>
        <w:t xml:space="preserve">образования  Торковичское сельское поселение Лужского района </w:t>
      </w:r>
      <w:r w:rsidRPr="00036CD5">
        <w:rPr>
          <w:sz w:val="28"/>
          <w:szCs w:val="28"/>
        </w:rPr>
        <w:t>Ленинградской области</w:t>
      </w:r>
      <w:r w:rsidR="00EE0184">
        <w:rPr>
          <w:bCs/>
          <w:sz w:val="28"/>
          <w:szCs w:val="28"/>
          <w:lang w:eastAsia="ru-RU"/>
        </w:rPr>
        <w:t xml:space="preserve"> </w:t>
      </w:r>
      <w:r w:rsidR="00EE0184" w:rsidRPr="00D75CBD">
        <w:rPr>
          <w:sz w:val="28"/>
          <w:szCs w:val="28"/>
        </w:rPr>
        <w:t>»</w:t>
      </w:r>
    </w:p>
    <w:p w:rsidR="00AB3300" w:rsidRDefault="00AB3300" w:rsidP="00EE0184">
      <w:pPr>
        <w:ind w:firstLine="708"/>
        <w:jc w:val="both"/>
        <w:rPr>
          <w:sz w:val="28"/>
          <w:szCs w:val="28"/>
        </w:rPr>
      </w:pPr>
    </w:p>
    <w:p w:rsidR="00EE0184" w:rsidRPr="00D75CBD" w:rsidRDefault="00EE0184" w:rsidP="00EE0184">
      <w:pPr>
        <w:ind w:firstLine="708"/>
        <w:jc w:val="both"/>
        <w:rPr>
          <w:sz w:val="28"/>
          <w:szCs w:val="28"/>
        </w:rPr>
      </w:pPr>
      <w:r w:rsidRPr="00D75CBD">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AB3300" w:rsidRDefault="00AB3300" w:rsidP="00933573">
      <w:pPr>
        <w:jc w:val="center"/>
        <w:rPr>
          <w:bCs/>
          <w:sz w:val="28"/>
          <w:szCs w:val="28"/>
        </w:rPr>
      </w:pPr>
    </w:p>
    <w:p w:rsidR="00933573" w:rsidRPr="00036CD5" w:rsidRDefault="00EE0184" w:rsidP="00933573">
      <w:pPr>
        <w:jc w:val="center"/>
        <w:rPr>
          <w:sz w:val="28"/>
          <w:szCs w:val="28"/>
        </w:rPr>
      </w:pPr>
      <w:r w:rsidRPr="00D75CBD">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sz w:val="28"/>
          <w:szCs w:val="28"/>
        </w:rPr>
        <w:t>«</w:t>
      </w:r>
      <w:r w:rsidR="00933573" w:rsidRPr="00036CD5">
        <w:rPr>
          <w:sz w:val="28"/>
          <w:szCs w:val="28"/>
        </w:rPr>
        <w:t>Предоставление права на  размещение нестационарного торгового объекта</w:t>
      </w:r>
    </w:p>
    <w:p w:rsidR="00EE0184" w:rsidRPr="00D75CBD" w:rsidRDefault="00933573" w:rsidP="00933573">
      <w:pPr>
        <w:widowControl w:val="0"/>
        <w:tabs>
          <w:tab w:val="left" w:pos="142"/>
          <w:tab w:val="left" w:pos="284"/>
        </w:tabs>
        <w:autoSpaceDE w:val="0"/>
        <w:autoSpaceDN w:val="0"/>
        <w:adjustRightInd w:val="0"/>
        <w:jc w:val="both"/>
        <w:rPr>
          <w:bCs/>
          <w:sz w:val="28"/>
          <w:szCs w:val="28"/>
        </w:rPr>
      </w:pPr>
      <w:r w:rsidRPr="00036CD5">
        <w:rPr>
          <w:sz w:val="28"/>
          <w:szCs w:val="28"/>
        </w:rPr>
        <w:t xml:space="preserve">на территории муниципального </w:t>
      </w:r>
      <w:r>
        <w:rPr>
          <w:sz w:val="28"/>
          <w:szCs w:val="28"/>
        </w:rPr>
        <w:t xml:space="preserve">образования  Торковичское сельское поселение Лужского района </w:t>
      </w:r>
      <w:r w:rsidRPr="00036CD5">
        <w:rPr>
          <w:sz w:val="28"/>
          <w:szCs w:val="28"/>
        </w:rPr>
        <w:t>Ленинградской области</w:t>
      </w:r>
      <w:r w:rsidR="00EE0184">
        <w:rPr>
          <w:bCs/>
          <w:sz w:val="28"/>
          <w:szCs w:val="28"/>
          <w:lang w:eastAsia="ru-RU"/>
        </w:rPr>
        <w:t xml:space="preserve"> </w:t>
      </w:r>
      <w:r w:rsidR="00EE0184" w:rsidRPr="00D75CBD">
        <w:rPr>
          <w:sz w:val="28"/>
          <w:szCs w:val="28"/>
        </w:rPr>
        <w:t>»</w:t>
      </w:r>
    </w:p>
    <w:p w:rsidR="00933573" w:rsidRDefault="00933573" w:rsidP="00EE0184">
      <w:pPr>
        <w:widowControl w:val="0"/>
        <w:tabs>
          <w:tab w:val="left" w:pos="142"/>
          <w:tab w:val="left" w:pos="284"/>
        </w:tabs>
        <w:autoSpaceDE w:val="0"/>
        <w:autoSpaceDN w:val="0"/>
        <w:adjustRightInd w:val="0"/>
        <w:jc w:val="both"/>
        <w:rPr>
          <w:sz w:val="28"/>
          <w:szCs w:val="28"/>
        </w:rPr>
      </w:pPr>
    </w:p>
    <w:p w:rsidR="00EE0184" w:rsidRPr="00D75CBD" w:rsidRDefault="00EE0184" w:rsidP="00EE0184">
      <w:pPr>
        <w:widowControl w:val="0"/>
        <w:tabs>
          <w:tab w:val="left" w:pos="142"/>
          <w:tab w:val="left" w:pos="284"/>
        </w:tabs>
        <w:autoSpaceDE w:val="0"/>
        <w:autoSpaceDN w:val="0"/>
        <w:adjustRightInd w:val="0"/>
        <w:jc w:val="both"/>
        <w:rPr>
          <w:bCs/>
          <w:sz w:val="28"/>
          <w:szCs w:val="28"/>
        </w:rPr>
      </w:pPr>
      <w:r w:rsidRPr="00D75CBD">
        <w:rPr>
          <w:sz w:val="28"/>
          <w:szCs w:val="28"/>
        </w:rPr>
        <w:t xml:space="preserve">2. Считать утратившим силу постановление № </w:t>
      </w:r>
      <w:r>
        <w:rPr>
          <w:sz w:val="28"/>
          <w:szCs w:val="28"/>
        </w:rPr>
        <w:t xml:space="preserve">111 от 05.08.2022 </w:t>
      </w:r>
    </w:p>
    <w:p w:rsidR="00933573" w:rsidRDefault="00933573" w:rsidP="00EE0184">
      <w:pPr>
        <w:jc w:val="both"/>
        <w:rPr>
          <w:sz w:val="28"/>
          <w:szCs w:val="28"/>
        </w:rPr>
      </w:pPr>
    </w:p>
    <w:p w:rsidR="00EE0184" w:rsidRPr="00D75CBD" w:rsidRDefault="00EE0184" w:rsidP="00EE0184">
      <w:pPr>
        <w:jc w:val="both"/>
        <w:rPr>
          <w:sz w:val="28"/>
          <w:szCs w:val="28"/>
        </w:rPr>
      </w:pPr>
      <w:r w:rsidRPr="00D75CBD">
        <w:rPr>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sz w:val="28"/>
          <w:szCs w:val="28"/>
          <w:lang w:val="en-US"/>
        </w:rPr>
        <w:t>www</w:t>
      </w:r>
      <w:r w:rsidRPr="00D75CBD">
        <w:rPr>
          <w:sz w:val="28"/>
          <w:szCs w:val="28"/>
        </w:rPr>
        <w:t>.</w:t>
      </w:r>
      <w:r w:rsidRPr="00D75CBD">
        <w:rPr>
          <w:sz w:val="28"/>
          <w:szCs w:val="28"/>
          <w:lang w:val="en-US"/>
        </w:rPr>
        <w:t>torkovichiadm</w:t>
      </w:r>
      <w:r w:rsidRPr="00D75CBD">
        <w:rPr>
          <w:sz w:val="28"/>
          <w:szCs w:val="28"/>
        </w:rPr>
        <w:t>.</w:t>
      </w:r>
      <w:r w:rsidRPr="00D75CBD">
        <w:rPr>
          <w:sz w:val="28"/>
          <w:szCs w:val="28"/>
          <w:lang w:val="en-US"/>
        </w:rPr>
        <w:t>ru</w:t>
      </w:r>
    </w:p>
    <w:p w:rsidR="00933573" w:rsidRDefault="00933573" w:rsidP="00EE0184">
      <w:pPr>
        <w:jc w:val="both"/>
        <w:rPr>
          <w:sz w:val="28"/>
          <w:szCs w:val="28"/>
        </w:rPr>
      </w:pPr>
    </w:p>
    <w:p w:rsidR="00EE0184" w:rsidRPr="00D75CBD" w:rsidRDefault="00EE0184" w:rsidP="00EE0184">
      <w:pPr>
        <w:jc w:val="both"/>
        <w:rPr>
          <w:sz w:val="28"/>
          <w:szCs w:val="28"/>
        </w:rPr>
      </w:pPr>
      <w:r w:rsidRPr="00D75CBD">
        <w:rPr>
          <w:sz w:val="28"/>
          <w:szCs w:val="28"/>
        </w:rPr>
        <w:t>4. Ответственность за исполнением  данного  постановления оставляю за собой</w:t>
      </w:r>
    </w:p>
    <w:p w:rsidR="00EE0184" w:rsidRDefault="00EE0184" w:rsidP="00EE0184">
      <w:pPr>
        <w:jc w:val="both"/>
        <w:rPr>
          <w:sz w:val="28"/>
          <w:szCs w:val="28"/>
        </w:rPr>
      </w:pPr>
    </w:p>
    <w:p w:rsidR="00EE0184" w:rsidRDefault="00EE0184" w:rsidP="00EE0184">
      <w:pPr>
        <w:jc w:val="both"/>
        <w:rPr>
          <w:sz w:val="28"/>
          <w:szCs w:val="28"/>
        </w:rPr>
      </w:pPr>
    </w:p>
    <w:p w:rsidR="00EE0184" w:rsidRDefault="00EE0184" w:rsidP="00EE0184">
      <w:pPr>
        <w:jc w:val="both"/>
        <w:rPr>
          <w:sz w:val="28"/>
          <w:szCs w:val="28"/>
        </w:rPr>
      </w:pPr>
      <w:r w:rsidRPr="00D75CBD">
        <w:rPr>
          <w:sz w:val="28"/>
          <w:szCs w:val="28"/>
        </w:rPr>
        <w:t xml:space="preserve">Глава администрации </w:t>
      </w:r>
    </w:p>
    <w:p w:rsidR="00EE0184" w:rsidRPr="00D75CBD" w:rsidRDefault="00EE0184" w:rsidP="00EE0184">
      <w:pPr>
        <w:jc w:val="both"/>
        <w:rPr>
          <w:sz w:val="28"/>
          <w:szCs w:val="28"/>
        </w:rPr>
      </w:pPr>
      <w:r w:rsidRPr="00D75CBD">
        <w:rPr>
          <w:sz w:val="28"/>
          <w:szCs w:val="28"/>
        </w:rPr>
        <w:t>Торковичского сельского посел</w:t>
      </w:r>
      <w:r>
        <w:rPr>
          <w:sz w:val="28"/>
          <w:szCs w:val="28"/>
        </w:rPr>
        <w:t>ения</w:t>
      </w:r>
      <w:r>
        <w:rPr>
          <w:sz w:val="28"/>
          <w:szCs w:val="28"/>
        </w:rPr>
        <w:tab/>
        <w:t xml:space="preserve">             </w:t>
      </w:r>
      <w:r>
        <w:rPr>
          <w:sz w:val="28"/>
          <w:szCs w:val="28"/>
        </w:rPr>
        <w:tab/>
      </w:r>
      <w:r>
        <w:rPr>
          <w:sz w:val="28"/>
          <w:szCs w:val="28"/>
        </w:rPr>
        <w:tab/>
      </w:r>
      <w:r>
        <w:rPr>
          <w:sz w:val="28"/>
          <w:szCs w:val="28"/>
        </w:rPr>
        <w:tab/>
      </w:r>
      <w:r w:rsidRPr="00D75CBD">
        <w:rPr>
          <w:sz w:val="28"/>
          <w:szCs w:val="28"/>
        </w:rPr>
        <w:t>Е.В.Иванова</w:t>
      </w:r>
    </w:p>
    <w:p w:rsidR="00EE0184" w:rsidRDefault="00EE0184" w:rsidP="007E7DAA">
      <w:pPr>
        <w:jc w:val="center"/>
        <w:rPr>
          <w:b/>
          <w:bCs/>
          <w:sz w:val="28"/>
          <w:szCs w:val="28"/>
        </w:rPr>
      </w:pPr>
    </w:p>
    <w:p w:rsidR="00EE0184" w:rsidRDefault="00EE0184" w:rsidP="007E7DAA">
      <w:pPr>
        <w:jc w:val="center"/>
        <w:rPr>
          <w:b/>
          <w:bCs/>
          <w:sz w:val="28"/>
          <w:szCs w:val="28"/>
        </w:rPr>
      </w:pPr>
    </w:p>
    <w:p w:rsidR="00EE0184" w:rsidRDefault="00EE0184" w:rsidP="007E7DAA">
      <w:pPr>
        <w:jc w:val="center"/>
        <w:rPr>
          <w:b/>
          <w:bCs/>
          <w:sz w:val="28"/>
          <w:szCs w:val="28"/>
        </w:rPr>
      </w:pPr>
    </w:p>
    <w:p w:rsidR="007E7DAA" w:rsidRPr="00544460" w:rsidRDefault="00717716" w:rsidP="007E7DAA">
      <w:pPr>
        <w:jc w:val="center"/>
        <w:rPr>
          <w:b/>
          <w:bCs/>
          <w:sz w:val="28"/>
          <w:szCs w:val="28"/>
        </w:rPr>
      </w:pPr>
      <w:r w:rsidRPr="00544460">
        <w:rPr>
          <w:b/>
          <w:bCs/>
          <w:sz w:val="28"/>
          <w:szCs w:val="28"/>
        </w:rPr>
        <w:t>Административный регламент</w:t>
      </w:r>
      <w:r w:rsidR="007E7DAA" w:rsidRPr="00544460">
        <w:rPr>
          <w:b/>
          <w:bCs/>
          <w:sz w:val="28"/>
          <w:szCs w:val="28"/>
        </w:rPr>
        <w:t xml:space="preserve"> </w:t>
      </w:r>
    </w:p>
    <w:p w:rsidR="007E7DAA" w:rsidRPr="00544460" w:rsidRDefault="007E7DAA" w:rsidP="007E7DAA">
      <w:pPr>
        <w:jc w:val="center"/>
        <w:rPr>
          <w:b/>
          <w:sz w:val="28"/>
          <w:szCs w:val="28"/>
        </w:rPr>
      </w:pPr>
      <w:r w:rsidRPr="00544460">
        <w:rPr>
          <w:b/>
          <w:sz w:val="28"/>
          <w:szCs w:val="28"/>
        </w:rPr>
        <w:t xml:space="preserve">по предоставлению муниципальной услуги: </w:t>
      </w:r>
    </w:p>
    <w:p w:rsidR="007E7DAA" w:rsidRPr="00036CD5" w:rsidRDefault="007E7DAA" w:rsidP="007E7DAA">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7E7DAA" w:rsidP="007E7DAA">
      <w:pPr>
        <w:rPr>
          <w:sz w:val="28"/>
          <w:szCs w:val="28"/>
        </w:rPr>
      </w:pPr>
      <w:r w:rsidRPr="00036CD5">
        <w:rPr>
          <w:sz w:val="28"/>
          <w:szCs w:val="28"/>
        </w:rPr>
        <w:t xml:space="preserve">на территории муниципального </w:t>
      </w:r>
      <w:r w:rsidR="00717716">
        <w:rPr>
          <w:sz w:val="28"/>
          <w:szCs w:val="28"/>
        </w:rPr>
        <w:t xml:space="preserve">образования  Торковичское сельское поселение </w:t>
      </w:r>
      <w:r w:rsidR="00EE0184">
        <w:rPr>
          <w:sz w:val="28"/>
          <w:szCs w:val="28"/>
        </w:rPr>
        <w:t xml:space="preserve">Лужского района </w:t>
      </w:r>
      <w:r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Pr="00036CD5">
        <w:rPr>
          <w:b/>
          <w:sz w:val="28"/>
          <w:szCs w:val="28"/>
        </w:rPr>
        <w:t>«</w:t>
      </w:r>
      <w:r w:rsidRPr="00036CD5">
        <w:rPr>
          <w:sz w:val="28"/>
          <w:szCs w:val="28"/>
        </w:rPr>
        <w:t>Предоставление права на  размещение нестационарного торгового объекта на территории муниципального образовани</w:t>
      </w:r>
      <w:r w:rsidR="00535589">
        <w:rPr>
          <w:sz w:val="28"/>
          <w:szCs w:val="28"/>
        </w:rPr>
        <w:t xml:space="preserve">я Торковичское сельское поселение Лужского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Предоставление права на размещение нестационарного торгового объекта на территории муниципального обр</w:t>
      </w:r>
      <w:r w:rsidR="00535589">
        <w:rPr>
          <w:sz w:val="28"/>
          <w:szCs w:val="28"/>
        </w:rPr>
        <w:t xml:space="preserve">азования Торковичское сельское поселение Лужского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______________ОМСУ.</w:t>
      </w:r>
    </w:p>
    <w:p w:rsidR="00361679" w:rsidRPr="00036CD5" w:rsidRDefault="00361679" w:rsidP="00361679">
      <w:pPr>
        <w:ind w:firstLine="709"/>
        <w:jc w:val="both"/>
        <w:rPr>
          <w:sz w:val="18"/>
          <w:szCs w:val="28"/>
        </w:rPr>
      </w:pPr>
      <w:r w:rsidRPr="00036CD5">
        <w:rPr>
          <w:sz w:val="18"/>
          <w:szCs w:val="28"/>
        </w:rPr>
        <w:t>(Администрация ОМСУ)</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36CD5">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28рабочих</w:t>
      </w:r>
      <w:r w:rsidRPr="00036CD5">
        <w:rPr>
          <w:sz w:val="28"/>
          <w:szCs w:val="28"/>
          <w:lang w:eastAsia="en-US"/>
        </w:rPr>
        <w:t xml:space="preserve"> дней</w:t>
      </w:r>
      <w:r w:rsidRPr="00036CD5">
        <w:rPr>
          <w:sz w:val="28"/>
          <w:szCs w:val="28"/>
        </w:rPr>
        <w:t>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xml:space="preserve">) и </w:t>
      </w:r>
      <w:r w:rsidRPr="00036CD5">
        <w:rPr>
          <w:sz w:val="28"/>
          <w:szCs w:val="28"/>
        </w:rPr>
        <w:lastRenderedPageBreak/>
        <w:t>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w:t>
      </w:r>
      <w:r w:rsidRPr="00036CD5">
        <w:rPr>
          <w:sz w:val="28"/>
          <w:szCs w:val="28"/>
        </w:rPr>
        <w:lastRenderedPageBreak/>
        <w:t>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717716">
        <w:rPr>
          <w:sz w:val="28"/>
          <w:szCs w:val="28"/>
        </w:rPr>
        <w:t xml:space="preserve"> </w:t>
      </w:r>
      <w:r w:rsidR="00885041">
        <w:rPr>
          <w:sz w:val="28"/>
          <w:szCs w:val="28"/>
        </w:rPr>
        <w:t xml:space="preserve">или </w:t>
      </w:r>
      <w:r w:rsidR="00885041" w:rsidRPr="00717716">
        <w:rPr>
          <w:sz w:val="28"/>
          <w:szCs w:val="28"/>
        </w:rPr>
        <w:t>самозанятым</w:t>
      </w:r>
      <w:r w:rsidR="00885041" w:rsidRPr="00281C57">
        <w:rPr>
          <w:sz w:val="28"/>
          <w:szCs w:val="28"/>
          <w:highlight w:val="yellow"/>
        </w:rPr>
        <w:t xml:space="preserve"> </w:t>
      </w:r>
      <w:r w:rsidR="00885041" w:rsidRPr="00717716">
        <w:rPr>
          <w:sz w:val="28"/>
          <w:szCs w:val="28"/>
        </w:rPr>
        <w:t>гражданином</w:t>
      </w:r>
      <w:r w:rsidRPr="00717716">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rPr>
        <w:t>в течение 1 рабочего дня с даты получения такого запроса.</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lastRenderedPageBreak/>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предоставленииправа на размещение НТО  и прилагаемых к нему документов в</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795E63" w:rsidP="002A5C2F">
      <w:pPr>
        <w:ind w:firstLine="709"/>
        <w:jc w:val="both"/>
        <w:rPr>
          <w:sz w:val="28"/>
          <w:szCs w:val="28"/>
        </w:rPr>
      </w:pPr>
      <w:r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lastRenderedPageBreak/>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036CD5">
        <w:rPr>
          <w:sz w:val="28"/>
          <w:szCs w:val="28"/>
        </w:rPr>
        <w:lastRenderedPageBreak/>
        <w:t>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lastRenderedPageBreak/>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w:t>
      </w:r>
      <w:r w:rsidRPr="00036CD5">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w:t>
      </w:r>
      <w:r w:rsidRPr="00036CD5">
        <w:rPr>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036CD5">
        <w:rPr>
          <w:sz w:val="28"/>
          <w:szCs w:val="28"/>
        </w:rPr>
        <w:lastRenderedPageBreak/>
        <w:t>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036CD5">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нестационарного торгового объекта на</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lastRenderedPageBreak/>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681FE5" w:rsidRDefault="008C2496" w:rsidP="008C2496">
      <w:pPr>
        <w:suppressAutoHyphens w:val="0"/>
        <w:autoSpaceDE w:val="0"/>
        <w:autoSpaceDN w:val="0"/>
        <w:adjustRightInd w:val="0"/>
        <w:ind w:firstLine="708"/>
        <w:jc w:val="both"/>
        <w:outlineLvl w:val="1"/>
        <w:rPr>
          <w:strike/>
          <w:sz w:val="24"/>
          <w:szCs w:val="24"/>
          <w:lang w:eastAsia="en-US"/>
        </w:rPr>
      </w:pPr>
    </w:p>
    <w:p w:rsidR="008C2496" w:rsidRPr="00036CD5" w:rsidRDefault="00717716"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нестационарного торгового объекта на</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443" w:rsidRDefault="00216443" w:rsidP="0074780A">
      <w:r>
        <w:separator/>
      </w:r>
    </w:p>
  </w:endnote>
  <w:endnote w:type="continuationSeparator" w:id="1">
    <w:p w:rsidR="00216443" w:rsidRDefault="00216443"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443" w:rsidRDefault="00216443" w:rsidP="0074780A">
      <w:r>
        <w:separator/>
      </w:r>
    </w:p>
  </w:footnote>
  <w:footnote w:type="continuationSeparator" w:id="1">
    <w:p w:rsidR="00216443" w:rsidRDefault="00216443"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243A89">
        <w:pPr>
          <w:pStyle w:val="a6"/>
          <w:jc w:val="center"/>
        </w:pPr>
        <w:r>
          <w:fldChar w:fldCharType="begin"/>
        </w:r>
        <w:r w:rsidR="0074780A">
          <w:instrText>PAGE   \* MERGEFORMAT</w:instrText>
        </w:r>
        <w:r>
          <w:fldChar w:fldCharType="separate"/>
        </w:r>
        <w:r w:rsidR="00AB3300">
          <w:rPr>
            <w:noProof/>
          </w:rPr>
          <w:t>2</w:t>
        </w:r>
        <w:r>
          <w:fldChar w:fldCharType="end"/>
        </w:r>
      </w:p>
    </w:sdtContent>
  </w:sdt>
  <w:p w:rsidR="0074780A" w:rsidRDefault="007478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B5DE7"/>
    <w:rsid w:val="001C3D45"/>
    <w:rsid w:val="001C4A1B"/>
    <w:rsid w:val="001F509D"/>
    <w:rsid w:val="002121DA"/>
    <w:rsid w:val="0021448D"/>
    <w:rsid w:val="00216443"/>
    <w:rsid w:val="0022552A"/>
    <w:rsid w:val="00230B10"/>
    <w:rsid w:val="00243A89"/>
    <w:rsid w:val="00254D0A"/>
    <w:rsid w:val="002736C7"/>
    <w:rsid w:val="00281C57"/>
    <w:rsid w:val="002A5C2F"/>
    <w:rsid w:val="00312C66"/>
    <w:rsid w:val="00317C29"/>
    <w:rsid w:val="00325E2F"/>
    <w:rsid w:val="00361679"/>
    <w:rsid w:val="00394D4E"/>
    <w:rsid w:val="003A4D12"/>
    <w:rsid w:val="003D6E16"/>
    <w:rsid w:val="0040208D"/>
    <w:rsid w:val="00425C12"/>
    <w:rsid w:val="00444C43"/>
    <w:rsid w:val="00454471"/>
    <w:rsid w:val="004943A6"/>
    <w:rsid w:val="00497B4E"/>
    <w:rsid w:val="004A1B2C"/>
    <w:rsid w:val="004C2E47"/>
    <w:rsid w:val="004E73C7"/>
    <w:rsid w:val="00512015"/>
    <w:rsid w:val="00535589"/>
    <w:rsid w:val="00544460"/>
    <w:rsid w:val="00555523"/>
    <w:rsid w:val="00557F56"/>
    <w:rsid w:val="00576ACE"/>
    <w:rsid w:val="0058595D"/>
    <w:rsid w:val="005A2B9D"/>
    <w:rsid w:val="005B427D"/>
    <w:rsid w:val="00625F1B"/>
    <w:rsid w:val="00681FE5"/>
    <w:rsid w:val="00693A13"/>
    <w:rsid w:val="00696C11"/>
    <w:rsid w:val="006A72C1"/>
    <w:rsid w:val="00702CCA"/>
    <w:rsid w:val="00706A26"/>
    <w:rsid w:val="0071724B"/>
    <w:rsid w:val="00717716"/>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33573"/>
    <w:rsid w:val="00943366"/>
    <w:rsid w:val="009501A8"/>
    <w:rsid w:val="00955798"/>
    <w:rsid w:val="009C0185"/>
    <w:rsid w:val="009E685E"/>
    <w:rsid w:val="00AB3300"/>
    <w:rsid w:val="00AE7270"/>
    <w:rsid w:val="00B00451"/>
    <w:rsid w:val="00B15C35"/>
    <w:rsid w:val="00B432D5"/>
    <w:rsid w:val="00B65211"/>
    <w:rsid w:val="00BC49D7"/>
    <w:rsid w:val="00BD5935"/>
    <w:rsid w:val="00BE055D"/>
    <w:rsid w:val="00BE40EF"/>
    <w:rsid w:val="00C37E8F"/>
    <w:rsid w:val="00C672F8"/>
    <w:rsid w:val="00C902D5"/>
    <w:rsid w:val="00CE7940"/>
    <w:rsid w:val="00CF33B6"/>
    <w:rsid w:val="00D84F37"/>
    <w:rsid w:val="00DE4FBE"/>
    <w:rsid w:val="00E2232C"/>
    <w:rsid w:val="00E446BB"/>
    <w:rsid w:val="00E457E5"/>
    <w:rsid w:val="00E643D8"/>
    <w:rsid w:val="00E73AA8"/>
    <w:rsid w:val="00EE0184"/>
    <w:rsid w:val="00F01AD7"/>
    <w:rsid w:val="00F12CC4"/>
    <w:rsid w:val="00F17B83"/>
    <w:rsid w:val="00F439D9"/>
    <w:rsid w:val="00F72E90"/>
    <w:rsid w:val="00FA5D0E"/>
    <w:rsid w:val="00FA62F6"/>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8790</Words>
  <Characters>50103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оон</cp:lastModifiedBy>
  <cp:revision>10</cp:revision>
  <cp:lastPrinted>2023-05-03T13:27:00Z</cp:lastPrinted>
  <dcterms:created xsi:type="dcterms:W3CDTF">2022-11-30T08:16:00Z</dcterms:created>
  <dcterms:modified xsi:type="dcterms:W3CDTF">2023-05-03T13:29:00Z</dcterms:modified>
</cp:coreProperties>
</file>